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DDFC" w14:textId="77777777" w:rsidR="004D6393" w:rsidRPr="004D6393" w:rsidRDefault="004D6393" w:rsidP="000E65F4">
      <w:pPr>
        <w:rPr>
          <w:b/>
        </w:rPr>
      </w:pPr>
      <w:r w:rsidRPr="004D6393">
        <w:rPr>
          <w:b/>
        </w:rPr>
        <w:t>VERRICELLO IMPIEGATO PER IL SOLLEVAMENTO DI UN CARICO MEDIANTE FUNE</w:t>
      </w:r>
    </w:p>
    <w:p w14:paraId="47B5C1B9" w14:textId="0CEFFEB2" w:rsidR="00A30E0C" w:rsidRDefault="00A30E0C" w:rsidP="000E65F4">
      <w:r>
        <w:t xml:space="preserve">Un verricello è impiegato per il sollevamento di un carico massimo </w:t>
      </w:r>
      <w:r w:rsidRPr="00BE3252">
        <w:rPr>
          <w:i/>
        </w:rPr>
        <w:t>Q</w:t>
      </w:r>
      <w:r>
        <w:t xml:space="preserve"> = 981 </w:t>
      </w:r>
      <w:proofErr w:type="spellStart"/>
      <w:r>
        <w:t>daN</w:t>
      </w:r>
      <w:proofErr w:type="spellEnd"/>
      <w:r>
        <w:t xml:space="preserve">, mediante una fune a </w:t>
      </w:r>
      <w:r w:rsidRPr="00A30E0C">
        <w:t>trefoli con anima tessile 6(1+6+</w:t>
      </w:r>
      <w:proofErr w:type="gramStart"/>
      <w:r w:rsidRPr="00A30E0C">
        <w:t>12)+</w:t>
      </w:r>
      <w:proofErr w:type="gramEnd"/>
      <w:r w:rsidRPr="00A30E0C">
        <w:t xml:space="preserve">FC  con 114 fili e carico di rottura unitario del materiale dei singoli fili </w:t>
      </w:r>
      <w:r w:rsidRPr="00A30E0C">
        <w:rPr>
          <w:i/>
        </w:rPr>
        <w:t>R</w:t>
      </w:r>
      <w:r w:rsidRPr="00A30E0C">
        <w:rPr>
          <w:i/>
          <w:vertAlign w:val="subscript"/>
        </w:rPr>
        <w:t>0</w:t>
      </w:r>
      <w:r w:rsidRPr="00A30E0C">
        <w:t xml:space="preserve"> = 1770 N/mm</w:t>
      </w:r>
      <w:r w:rsidRPr="00A30E0C">
        <w:rPr>
          <w:vertAlign w:val="superscript"/>
        </w:rPr>
        <w:t>2</w:t>
      </w:r>
      <w:r w:rsidRPr="00A30E0C">
        <w:t>. Determinare il carico di rottura minimo</w:t>
      </w:r>
      <w:r w:rsidRPr="00A30E0C">
        <w:rPr>
          <w:i/>
        </w:rPr>
        <w:t xml:space="preserve"> R</w:t>
      </w:r>
      <w:r w:rsidRPr="00A30E0C">
        <w:t xml:space="preserve"> della fune, il diametro </w:t>
      </w:r>
      <w:r w:rsidRPr="00A30E0C">
        <w:rPr>
          <w:i/>
        </w:rPr>
        <w:t>d</w:t>
      </w:r>
      <w:r w:rsidRPr="00A30E0C">
        <w:t xml:space="preserve"> della fune, il diametro</w:t>
      </w:r>
      <w:r>
        <w:t xml:space="preserve"> </w:t>
      </w:r>
      <m:oMath>
        <m:r>
          <w:rPr>
            <w:rFonts w:ascii="Cambria Math" w:hAnsi="Cambria Math"/>
          </w:rPr>
          <m:t>δ</m:t>
        </m:r>
      </m:oMath>
      <w:r>
        <w:rPr>
          <w:rFonts w:eastAsiaTheme="minorEastAsia"/>
        </w:rPr>
        <w:t xml:space="preserve"> </w:t>
      </w:r>
      <w:r>
        <w:t>dei fili e il diametro</w:t>
      </w:r>
      <w:r w:rsidRPr="00BE3252">
        <w:rPr>
          <w:i/>
        </w:rPr>
        <w:t xml:space="preserve"> D</w:t>
      </w:r>
      <w:r>
        <w:t xml:space="preserve"> del tamburo.</w:t>
      </w:r>
    </w:p>
    <w:p w14:paraId="22D5AF86" w14:textId="08552215" w:rsidR="00A30E0C" w:rsidRDefault="00A30E0C" w:rsidP="000E65F4">
      <w:pPr>
        <w:rPr>
          <w:rFonts w:eastAsiaTheme="minorEastAsia"/>
        </w:rPr>
      </w:pPr>
      <w:r>
        <w:t xml:space="preserve">Si consiglia di fare riferimento alla </w:t>
      </w:r>
      <w:proofErr w:type="spellStart"/>
      <w:r>
        <w:t>tabelIa</w:t>
      </w:r>
      <w:proofErr w:type="spellEnd"/>
      <w:r>
        <w:t xml:space="preserve"> I.158 del </w:t>
      </w:r>
      <w:r w:rsidRPr="00A30E0C">
        <w:rPr>
          <w:i/>
        </w:rPr>
        <w:t>Manuale di Meccanica,</w:t>
      </w:r>
      <w:r w:rsidR="000E65F4">
        <w:rPr>
          <w:i/>
        </w:rPr>
        <w:t xml:space="preserve"> </w:t>
      </w:r>
      <w:r w:rsidRPr="00A30E0C">
        <w:rPr>
          <w:i/>
        </w:rPr>
        <w:t>Hoepli</w:t>
      </w:r>
      <w:r>
        <w:t xml:space="preserve">, e alle prescrizioni relative a mezzi e apparecchi di sollevamento e trasporto (DPR del 27.4.1955):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 xml:space="preserve"> ≥6;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w:rPr>
            <w:rFonts w:ascii="Cambria Math" w:hAnsi="Cambria Math"/>
          </w:rPr>
          <m:t xml:space="preserve"> ≥25;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δ</m:t>
            </m:r>
          </m:den>
        </m:f>
        <m:r>
          <w:rPr>
            <w:rFonts w:ascii="Cambria Math" w:hAnsi="Cambria Math"/>
          </w:rPr>
          <m:t>≥300</m:t>
        </m:r>
      </m:oMath>
      <w:r>
        <w:rPr>
          <w:rFonts w:eastAsiaTheme="minorEastAsia"/>
        </w:rPr>
        <w:t>.</w:t>
      </w:r>
    </w:p>
    <w:p w14:paraId="7ABB6EEF" w14:textId="77777777" w:rsidR="00465ACA" w:rsidRDefault="004D6393" w:rsidP="00465ACA">
      <w:pPr>
        <w:ind w:left="426" w:hanging="426"/>
        <w:rPr>
          <w:b/>
        </w:rPr>
      </w:pPr>
      <w:r>
        <w:rPr>
          <w:b/>
        </w:rPr>
        <w:t>SOLUZIONE</w:t>
      </w:r>
    </w:p>
    <w:p w14:paraId="039BBD11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</w:pPr>
      <w:r>
        <w:t xml:space="preserve">Considerando l’indice di sicurezza </w:t>
      </w:r>
      <w:proofErr w:type="spellStart"/>
      <w:r>
        <w:t>i</w:t>
      </w:r>
      <w:r w:rsidRPr="0011136B">
        <w:rPr>
          <w:vertAlign w:val="subscript"/>
        </w:rPr>
        <w:t>s</w:t>
      </w:r>
      <w:proofErr w:type="spellEnd"/>
      <w:r>
        <w:t xml:space="preserve"> = 6, il carico di rottura della fune dovrà essere:</w:t>
      </w:r>
    </w:p>
    <w:p w14:paraId="08B0DA92" w14:textId="77777777" w:rsidR="004344B0" w:rsidRDefault="0000000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</m:oMath>
      </m:oMathPara>
    </w:p>
    <w:p w14:paraId="03BDB8A8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w:r>
        <w:rPr>
          <w:rFonts w:eastAsiaTheme="minorEastAsia"/>
        </w:rPr>
        <w:t xml:space="preserve">con </w:t>
      </w:r>
      <w:r w:rsidRPr="00497DB3">
        <w:rPr>
          <w:rFonts w:eastAsiaTheme="minorEastAsia"/>
          <w:i/>
        </w:rPr>
        <w:t>T = Q</w:t>
      </w:r>
      <w:r>
        <w:rPr>
          <w:rFonts w:eastAsiaTheme="minorEastAsia"/>
        </w:rPr>
        <w:t xml:space="preserve"> = 981 </w:t>
      </w:r>
      <w:proofErr w:type="spellStart"/>
      <w:r>
        <w:rPr>
          <w:rFonts w:eastAsiaTheme="minorEastAsia"/>
        </w:rPr>
        <w:t>daN</w:t>
      </w:r>
      <w:proofErr w:type="spellEnd"/>
      <w:r>
        <w:rPr>
          <w:rFonts w:eastAsiaTheme="minorEastAsia"/>
        </w:rPr>
        <w:t>.</w:t>
      </w:r>
    </w:p>
    <w:p w14:paraId="2061BF8D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w:r>
        <w:rPr>
          <w:rFonts w:eastAsiaTheme="minorEastAsia"/>
        </w:rPr>
        <w:t>Quindi:</w:t>
      </w:r>
    </w:p>
    <w:p w14:paraId="60FE58BD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R=Q×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=9810×6=58 860 N</m:t>
          </m:r>
        </m:oMath>
      </m:oMathPara>
    </w:p>
    <w:p w14:paraId="189F46AB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w:r>
        <w:rPr>
          <w:rFonts w:eastAsiaTheme="minorEastAsia"/>
        </w:rPr>
        <w:t xml:space="preserve">Dalla </w:t>
      </w:r>
      <w:r w:rsidRPr="004344B0">
        <w:rPr>
          <w:rFonts w:eastAsiaTheme="minorEastAsia"/>
          <w:b/>
          <w:i/>
        </w:rPr>
        <w:t>Tab.I</w:t>
      </w:r>
      <w:r w:rsidRPr="004344B0">
        <w:rPr>
          <w:rFonts w:eastAsiaTheme="minorEastAsia"/>
          <w:b/>
        </w:rPr>
        <w:t>.158</w:t>
      </w:r>
      <w:r>
        <w:rPr>
          <w:rFonts w:eastAsiaTheme="minorEastAsia"/>
        </w:rPr>
        <w:t xml:space="preserve"> si rileva il carico di rottura della fune </w:t>
      </w:r>
      <w:r w:rsidRPr="00497DB3">
        <w:rPr>
          <w:rFonts w:eastAsiaTheme="minorEastAsia"/>
          <w:i/>
        </w:rPr>
        <w:t>R</w:t>
      </w:r>
      <w:r>
        <w:rPr>
          <w:rFonts w:eastAsiaTheme="minorEastAsia"/>
        </w:rPr>
        <w:t xml:space="preserve"> = 78.3 kN a cui corrispondono i seguenti valori del diametro della fune e del diametro dei fili:</w:t>
      </w:r>
    </w:p>
    <w:p w14:paraId="3166D933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δ=0,78 mm;  d=12 mm</m:t>
          </m:r>
        </m:oMath>
      </m:oMathPara>
    </w:p>
    <w:p w14:paraId="51A75384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w:r>
        <w:rPr>
          <w:rFonts w:eastAsiaTheme="minorEastAsia"/>
        </w:rPr>
        <w:t xml:space="preserve">Il diametro </w:t>
      </w:r>
      <w:r w:rsidRPr="004D1425">
        <w:rPr>
          <w:rFonts w:eastAsiaTheme="minorEastAsia"/>
          <w:i/>
        </w:rPr>
        <w:t>D</w:t>
      </w:r>
      <w:r>
        <w:rPr>
          <w:rFonts w:eastAsiaTheme="minorEastAsia"/>
        </w:rPr>
        <w:t xml:space="preserve"> del tamburo, secondo le prescrizioni del DPR 27.4.1955, deve essere maggiore o uguale al maggiore dei diametri risultanti dalle relazioni:</w:t>
      </w:r>
    </w:p>
    <w:p w14:paraId="1B3BCE90" w14:textId="77777777" w:rsidR="004344B0" w:rsidRDefault="0000000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δ</m:t>
              </m:r>
            </m:den>
          </m:f>
          <m:r>
            <w:rPr>
              <w:rFonts w:ascii="Cambria Math" w:eastAsiaTheme="minorEastAsia" w:hAnsi="Cambria Math"/>
            </w:rPr>
            <m:t xml:space="preserve">≥300; 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 xml:space="preserve">≥25 </m:t>
          </m:r>
        </m:oMath>
      </m:oMathPara>
    </w:p>
    <w:p w14:paraId="60703B75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w:r>
        <w:rPr>
          <w:rFonts w:eastAsiaTheme="minorEastAsia"/>
        </w:rPr>
        <w:t>Pertanto si ottiene:</w:t>
      </w:r>
    </w:p>
    <w:p w14:paraId="4CA5ECD7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D≥0,78 ×300=234 mm</m:t>
          </m:r>
        </m:oMath>
      </m:oMathPara>
    </w:p>
    <w:p w14:paraId="147BDF2E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D≥12×25=300 mm</m:t>
          </m:r>
        </m:oMath>
      </m:oMathPara>
    </w:p>
    <w:p w14:paraId="6F2DB0D7" w14:textId="77777777" w:rsidR="004344B0" w:rsidRDefault="004344B0" w:rsidP="004344B0">
      <w:pPr>
        <w:tabs>
          <w:tab w:val="left" w:pos="567"/>
          <w:tab w:val="left" w:pos="709"/>
          <w:tab w:val="left" w:pos="851"/>
        </w:tabs>
        <w:ind w:left="426"/>
      </w:pPr>
      <w:r>
        <w:t>e si assume D = 300 mm.</w:t>
      </w:r>
    </w:p>
    <w:p w14:paraId="46E60CBC" w14:textId="77777777" w:rsidR="004344B0" w:rsidRDefault="004344B0" w:rsidP="00465ACA">
      <w:pPr>
        <w:ind w:left="426" w:hanging="426"/>
        <w:rPr>
          <w:b/>
        </w:rPr>
      </w:pPr>
    </w:p>
    <w:sectPr w:rsidR="004344B0" w:rsidSect="00B6183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74E79" w14:textId="77777777" w:rsidR="00B6183D" w:rsidRDefault="00B6183D" w:rsidP="000E65F4">
      <w:pPr>
        <w:spacing w:after="0" w:line="240" w:lineRule="auto"/>
      </w:pPr>
      <w:r>
        <w:separator/>
      </w:r>
    </w:p>
  </w:endnote>
  <w:endnote w:type="continuationSeparator" w:id="0">
    <w:p w14:paraId="49A898BE" w14:textId="77777777" w:rsidR="00B6183D" w:rsidRDefault="00B6183D" w:rsidP="000E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48A" w14:textId="77777777" w:rsidR="000E65F4" w:rsidRDefault="000E65F4" w:rsidP="000E65F4">
    <w:pPr>
      <w:pStyle w:val="Default"/>
    </w:pPr>
  </w:p>
  <w:p w14:paraId="71E49857" w14:textId="15967C89" w:rsidR="000E65F4" w:rsidRDefault="000E65F4" w:rsidP="000E65F4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CD3C" w14:textId="77777777" w:rsidR="00B6183D" w:rsidRDefault="00B6183D" w:rsidP="000E65F4">
      <w:pPr>
        <w:spacing w:after="0" w:line="240" w:lineRule="auto"/>
      </w:pPr>
      <w:r>
        <w:separator/>
      </w:r>
    </w:p>
  </w:footnote>
  <w:footnote w:type="continuationSeparator" w:id="0">
    <w:p w14:paraId="513D7430" w14:textId="77777777" w:rsidR="00B6183D" w:rsidRDefault="00B6183D" w:rsidP="000E6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2160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0E65F4"/>
    <w:rsid w:val="002D7689"/>
    <w:rsid w:val="003B7ACE"/>
    <w:rsid w:val="00425DD1"/>
    <w:rsid w:val="004344B0"/>
    <w:rsid w:val="00465ACA"/>
    <w:rsid w:val="004A40B5"/>
    <w:rsid w:val="004D6393"/>
    <w:rsid w:val="00644DDB"/>
    <w:rsid w:val="00993F15"/>
    <w:rsid w:val="00A30E0C"/>
    <w:rsid w:val="00B6183D"/>
    <w:rsid w:val="00C50898"/>
    <w:rsid w:val="00CC3FE7"/>
    <w:rsid w:val="00CF40F1"/>
    <w:rsid w:val="00D0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DC6C"/>
  <w15:docId w15:val="{2281B65D-E0DE-4779-9359-0227A444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65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65F4"/>
  </w:style>
  <w:style w:type="paragraph" w:styleId="Pidipagina">
    <w:name w:val="footer"/>
    <w:basedOn w:val="Normale"/>
    <w:link w:val="PidipaginaCarattere"/>
    <w:uiPriority w:val="99"/>
    <w:unhideWhenUsed/>
    <w:rsid w:val="000E65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65F4"/>
  </w:style>
  <w:style w:type="paragraph" w:customStyle="1" w:styleId="Default">
    <w:name w:val="Default"/>
    <w:rsid w:val="000E65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7</cp:revision>
  <dcterms:created xsi:type="dcterms:W3CDTF">2024-02-21T15:58:00Z</dcterms:created>
  <dcterms:modified xsi:type="dcterms:W3CDTF">2024-02-27T11:58:00Z</dcterms:modified>
</cp:coreProperties>
</file>